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1776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659"/>
        <w:gridCol w:w="511"/>
        <w:gridCol w:w="606"/>
      </w:tblGrid>
      <w:tr>
        <w:trPr/>
        <w:tc>
          <w:tcPr>
            <w:tcW w:w="659" w:type="dxa"/>
            <w:tcBorders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60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4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de-DE"/>
              </w:rPr>
            </w:r>
          </w:p>
        </w:tc>
      </w:tr>
    </w:tbl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Wolfgang Detel</w:t>
      </w:r>
    </w:p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Veröffentlichungen</w:t>
      </w:r>
    </w:p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A. Bücher (Books)</w:t>
      </w:r>
    </w:p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val="en-GB" w:eastAsia="de-DE"/>
        </w:rPr>
        <w:t>I Antike Philosophie (Ancient Philosophy)</w:t>
      </w:r>
    </w:p>
    <w:p>
      <w:pPr>
        <w:pStyle w:val="Normal"/>
        <w:numPr>
          <w:ilvl w:val="0"/>
          <w:numId w:val="1"/>
        </w:numPr>
        <w:spacing w:beforeAutospacing="1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(1972)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>Platons Beschreibung des falschen Satzes im Theätet und Sophistes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 (Hypomnemata 36), Göttingen</w:t>
      </w:r>
    </w:p>
    <w:p>
      <w:pPr>
        <w:pStyle w:val="Normal"/>
        <w:numPr>
          <w:ilvl w:val="0"/>
          <w:numId w:val="1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(1993)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>Aristoteles: Analytica Posteriora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.Einleitung, Übersetzung und Kommentar, von W. Detel. Aristoteles, Werke (hrg.v. H.Flashar) 3, II; 2 Bd., Berlin</w:t>
      </w:r>
    </w:p>
    <w:p>
      <w:pPr>
        <w:pStyle w:val="Normal"/>
        <w:numPr>
          <w:ilvl w:val="0"/>
          <w:numId w:val="1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(2005)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>Aristoteles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,</w:t>
      </w:r>
      <w:r>
        <w:rPr>
          <w:rFonts w:cs="Times New Roman" w:ascii="Times New Roman" w:hAnsi="Times New Roman"/>
          <w:i/>
          <w:iCs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Stuttgart, 2. erw. Aufl. 2021</w:t>
      </w:r>
    </w:p>
    <w:p>
      <w:pPr>
        <w:pStyle w:val="Normal"/>
        <w:numPr>
          <w:ilvl w:val="0"/>
          <w:numId w:val="1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(2009)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 xml:space="preserve">Aristoteles Metaphysik VII – VIII. Griechisch-Deutsch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(Einleitung, Übersetzung (unter Mitarbeit von J. Wildgruber) und Kommentar), Frankfurt / Main</w:t>
      </w:r>
    </w:p>
    <w:p>
      <w:pPr>
        <w:pStyle w:val="Normal"/>
        <w:numPr>
          <w:ilvl w:val="0"/>
          <w:numId w:val="1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(2011)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 xml:space="preserve">Aristoteles, Analytica Posteriora. Griechisch-Deutsch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(Einleitung, Übersetzung und Anmerkungen), Reinbek bei Hamburg</w:t>
      </w:r>
    </w:p>
    <w:p>
      <w:pPr>
        <w:pStyle w:val="Normal"/>
        <w:numPr>
          <w:ilvl w:val="0"/>
          <w:numId w:val="1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(2021)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>Aristoxenos, Elemente der Rhythmik. Theorie der musikalischen Zeit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. Griechisch-Deutsch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(Einleitung, Übersetzung und Anmerkungen), Hamburg</w:t>
      </w:r>
    </w:p>
    <w:p>
      <w:pPr>
        <w:pStyle w:val="Normal"/>
        <w:numPr>
          <w:ilvl w:val="0"/>
          <w:numId w:val="1"/>
        </w:numPr>
        <w:spacing w:before="0" w:afterAutospacing="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(2023) </w:t>
      </w:r>
      <w:r>
        <w:rPr>
          <w:rFonts w:eastAsia="Documenta130408-Regular" w:cs="Times New Roman" w:ascii="Times New Roman" w:hAnsi="Times New Roman"/>
          <w:i/>
          <w:iCs/>
          <w:color w:val="000000"/>
          <w:szCs w:val="24"/>
          <w14:ligatures w14:val="standardContextual"/>
        </w:rPr>
        <w:t>Aristoteles, Metaphysik. Schriften zur Ersten Philosophie</w:t>
      </w:r>
      <w:r>
        <w:rPr>
          <w:rFonts w:eastAsia="Documenta130408-Regular" w:cs="Times New Roman" w:ascii="Times New Roman" w:hAnsi="Times New Roman"/>
          <w:color w:val="000000"/>
          <w:szCs w:val="24"/>
          <w14:ligatures w14:val="standardContextual"/>
        </w:rPr>
        <w:t>. Übersetzt und herausgegeben von Franz F. Schwarz. Vollständig durchgesehen, überarbeitet und mit einem Nachwort versehen von Wolfgang Detel, Stuttgart</w:t>
      </w:r>
    </w:p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II Neuzeitliche Philosophie (Modern Philosophy)</w:t>
      </w:r>
    </w:p>
    <w:p>
      <w:pPr>
        <w:pStyle w:val="Normal"/>
        <w:numPr>
          <w:ilvl w:val="0"/>
          <w:numId w:val="2"/>
        </w:numPr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(1978)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>Scientia Rerum Natura Occultarum. Methodologische Studien zur Physik Pierre Gassendis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 , Quellen und Studien zur Philosophie 14, Berlin</w:t>
      </w:r>
    </w:p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III Zeitgenössische Philosophie (Contemporary Philosophy)</w:t>
      </w:r>
    </w:p>
    <w:p>
      <w:pPr>
        <w:pStyle w:val="Normal"/>
        <w:numPr>
          <w:ilvl w:val="0"/>
          <w:numId w:val="3"/>
        </w:numPr>
        <w:spacing w:beforeAutospacing="1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(1998)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>Macht, Moral, Wissen. Foucault und die klassische Antike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, Frankfurt; 2. Aufl.: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>Foucault und die klassische Antike. Macht, Moral, Wissen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 Frankfurt 2006</w:t>
      </w:r>
    </w:p>
    <w:p>
      <w:pPr>
        <w:pStyle w:val="Normal"/>
        <w:numPr>
          <w:ilvl w:val="0"/>
          <w:numId w:val="3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 xml:space="preserve">(2005)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val="en-GB" w:eastAsia="de-DE"/>
        </w:rPr>
        <w:t>Foucault and Classical Antiquity</w:t>
      </w: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 xml:space="preserve">, Cambridge (verb. engl.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Version von Detel (1998))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Times New Roman" w:ascii="Times New Roman" w:hAnsi="Times New Roman"/>
          <w:color w:val="000000"/>
        </w:rPr>
        <w:t xml:space="preserve">(2007) </w:t>
      </w:r>
      <w:r>
        <w:rPr>
          <w:rStyle w:val="Betont"/>
          <w:rFonts w:cs="Times New Roman" w:ascii="Times New Roman" w:hAnsi="Times New Roman"/>
          <w:color w:val="000000"/>
        </w:rPr>
        <w:t>Grundkurs Philosophie</w:t>
      </w:r>
      <w:r>
        <w:rPr>
          <w:rFonts w:cs="Times New Roman" w:ascii="Times New Roman" w:hAnsi="Times New Roman"/>
          <w:color w:val="000000"/>
        </w:rPr>
        <w:t xml:space="preserve">, Stuttgart, Bd.1: </w:t>
      </w:r>
      <w:r>
        <w:rPr>
          <w:rStyle w:val="Betont"/>
          <w:rFonts w:cs="Times New Roman" w:ascii="Times New Roman" w:hAnsi="Times New Roman"/>
          <w:color w:val="000000"/>
        </w:rPr>
        <w:t>Logik</w:t>
      </w:r>
      <w:r>
        <w:rPr>
          <w:rFonts w:cs="Times New Roman" w:ascii="Times New Roman" w:hAnsi="Times New Roman"/>
          <w:color w:val="000000"/>
        </w:rPr>
        <w:t xml:space="preserve"> (2. Aufl. 2008, 3. Aufl. 2010, 4. Aufl. 2014, </w:t>
      </w:r>
      <w:r>
        <w:rPr>
          <w:rFonts w:cs="Times New Roman" w:ascii="Times New Roman" w:hAnsi="Times New Roman"/>
          <w:color w:val="000000"/>
        </w:rPr>
        <w:t>5. Aufl. 2019)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Times New Roman" w:ascii="Times New Roman" w:hAnsi="Times New Roman"/>
          <w:color w:val="000000"/>
        </w:rPr>
        <w:t xml:space="preserve">(2007) </w:t>
      </w:r>
      <w:r>
        <w:rPr>
          <w:rStyle w:val="Betont"/>
          <w:rFonts w:cs="Times New Roman" w:ascii="Times New Roman" w:hAnsi="Times New Roman"/>
          <w:color w:val="000000"/>
        </w:rPr>
        <w:t>Grundkurs Philosophie</w:t>
      </w:r>
      <w:r>
        <w:rPr>
          <w:rFonts w:cs="Times New Roman" w:ascii="Times New Roman" w:hAnsi="Times New Roman"/>
          <w:color w:val="000000"/>
        </w:rPr>
        <w:t xml:space="preserve">, Stuttgart, Bd.2: </w:t>
      </w:r>
      <w:r>
        <w:rPr>
          <w:rStyle w:val="Betont"/>
          <w:rFonts w:cs="Times New Roman" w:ascii="Times New Roman" w:hAnsi="Times New Roman"/>
          <w:color w:val="000000"/>
        </w:rPr>
        <w:t>Metaphysik und Naturphilosophie</w:t>
      </w:r>
      <w:r>
        <w:rPr>
          <w:rFonts w:cs="Times New Roman" w:ascii="Times New Roman" w:hAnsi="Times New Roman"/>
          <w:color w:val="000000"/>
        </w:rPr>
        <w:t xml:space="preserve"> (2. Aufl. 2009, 3. Aufl. 2014, </w:t>
      </w:r>
      <w:r>
        <w:rPr>
          <w:rFonts w:cs="Times New Roman" w:ascii="Times New Roman" w:hAnsi="Times New Roman"/>
          <w:color w:val="000000"/>
        </w:rPr>
        <w:t>4. Aufl. 2017)</w:t>
      </w:r>
    </w:p>
    <w:p>
      <w:pPr>
        <w:pStyle w:val="Western"/>
        <w:numPr>
          <w:ilvl w:val="0"/>
          <w:numId w:val="3"/>
        </w:numPr>
        <w:spacing w:before="280" w:after="0"/>
        <w:rPr/>
      </w:pPr>
      <w:r>
        <w:rPr>
          <w:color w:val="000000"/>
        </w:rPr>
        <w:t xml:space="preserve">(2007) </w:t>
      </w:r>
      <w:r>
        <w:rPr>
          <w:rStyle w:val="Betont"/>
          <w:color w:val="000000"/>
        </w:rPr>
        <w:t>Grundkurs Philosophie</w:t>
      </w:r>
      <w:r>
        <w:rPr>
          <w:color w:val="000000"/>
        </w:rPr>
        <w:t xml:space="preserve">, Stuttgart Bd.3: </w:t>
      </w:r>
      <w:r>
        <w:rPr>
          <w:rStyle w:val="Betont"/>
          <w:color w:val="000000"/>
        </w:rPr>
        <w:t>Philosophie des Geistes und der Sprache</w:t>
      </w:r>
      <w:r>
        <w:rPr>
          <w:color w:val="000000"/>
        </w:rPr>
        <w:t xml:space="preserve"> (2. erw. Aufl. 2008, </w:t>
      </w:r>
      <w:r>
        <w:rPr>
          <w:color w:val="000000"/>
        </w:rPr>
        <w:t>3. erw. Aufl. 2015)</w:t>
      </w:r>
    </w:p>
    <w:p>
      <w:pPr>
        <w:pStyle w:val="Western"/>
        <w:numPr>
          <w:ilvl w:val="0"/>
          <w:numId w:val="3"/>
        </w:numPr>
        <w:spacing w:before="0" w:after="0"/>
        <w:rPr/>
      </w:pPr>
      <w:r>
        <w:rPr>
          <w:color w:val="000000"/>
        </w:rPr>
        <w:t xml:space="preserve">(2007) </w:t>
      </w:r>
      <w:r>
        <w:rPr>
          <w:rStyle w:val="Betont"/>
          <w:color w:val="000000"/>
        </w:rPr>
        <w:t>Grundkurs Philosophie</w:t>
      </w:r>
      <w:r>
        <w:rPr>
          <w:color w:val="000000"/>
        </w:rPr>
        <w:t xml:space="preserve">, Stuttgart Bd.4: </w:t>
      </w:r>
      <w:r>
        <w:rPr>
          <w:rStyle w:val="Betont"/>
          <w:color w:val="000000"/>
        </w:rPr>
        <w:t>Erkenntnis- und Wissenschaftstheorie</w:t>
      </w:r>
      <w:r>
        <w:rPr>
          <w:color w:val="000000"/>
        </w:rPr>
        <w:t xml:space="preserve"> (2. Aufl. 2008, 3. erw. Auflage 2014,  </w:t>
      </w:r>
      <w:r>
        <w:rPr>
          <w:color w:val="000000"/>
        </w:rPr>
        <w:t>4. vollständig durchgesehene und erw. Aufl. 2017)</w:t>
      </w:r>
    </w:p>
    <w:p>
      <w:pPr>
        <w:pStyle w:val="Western"/>
        <w:numPr>
          <w:ilvl w:val="0"/>
          <w:numId w:val="3"/>
        </w:numPr>
        <w:spacing w:before="0" w:after="0"/>
        <w:rPr/>
      </w:pPr>
      <w:r>
        <w:rPr>
          <w:color w:val="000000"/>
        </w:rPr>
        <w:t xml:space="preserve">(2007) </w:t>
      </w:r>
      <w:r>
        <w:rPr>
          <w:rStyle w:val="Betont"/>
          <w:color w:val="000000"/>
        </w:rPr>
        <w:t>Grundkurs Philosophie</w:t>
      </w:r>
      <w:r>
        <w:rPr>
          <w:color w:val="000000"/>
        </w:rPr>
        <w:t xml:space="preserve">, Stuttgart Bd.5: </w:t>
      </w:r>
      <w:r>
        <w:rPr>
          <w:rStyle w:val="Betont"/>
          <w:color w:val="000000"/>
        </w:rPr>
        <w:t xml:space="preserve">Philosophie des Sozialen </w:t>
      </w:r>
      <w:r>
        <w:rPr>
          <w:color w:val="000000"/>
        </w:rPr>
        <w:t xml:space="preserve">(2. Aufl. 2010, </w:t>
      </w:r>
      <w:r>
        <w:rPr>
          <w:color w:val="000000"/>
        </w:rPr>
        <w:t>3.Aufl. 2019</w:t>
      </w:r>
      <w:r>
        <w:rPr>
          <w:color w:val="000000"/>
        </w:rPr>
        <w:t>)</w:t>
      </w:r>
    </w:p>
    <w:p>
      <w:pPr>
        <w:pStyle w:val="Normal"/>
        <w:numPr>
          <w:ilvl w:val="0"/>
          <w:numId w:val="3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(2011)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 xml:space="preserve">Geist und Verstehen. Historische Grundlagen einer modernen Hermeneutik,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Frankfurt / Main</w:t>
      </w:r>
    </w:p>
    <w:p>
      <w:pPr>
        <w:pStyle w:val="Normal"/>
        <w:numPr>
          <w:ilvl w:val="0"/>
          <w:numId w:val="3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(2014)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 xml:space="preserve">Kognition, Parsen, Interpretation. Elemente einer allgemeinen Hermeneutik,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Frankfurt / Main</w:t>
      </w:r>
    </w:p>
    <w:p>
      <w:pPr>
        <w:pStyle w:val="Normal"/>
        <w:numPr>
          <w:ilvl w:val="0"/>
          <w:numId w:val="3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(2015)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 xml:space="preserve">Hermeneutik der Literatur und Theorie des Geistes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Frankfurt/Main</w:t>
      </w:r>
    </w:p>
    <w:p>
      <w:pPr>
        <w:pStyle w:val="Normal"/>
        <w:numPr>
          <w:ilvl w:val="0"/>
          <w:numId w:val="3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(2018) 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 xml:space="preserve">Eine schulenübergreifende Systematik der modernen Psychoanalyse. Seelenmodell, Hermeneutik, Therapie,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Gießen</w:t>
      </w:r>
    </w:p>
    <w:p>
      <w:pPr>
        <w:pStyle w:val="Normal"/>
        <w:numPr>
          <w:ilvl w:val="0"/>
          <w:numId w:val="3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(2018)</w:t>
      </w: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t xml:space="preserve"> Warum wir nichts über Gott wissen können. Ein Beitrag zum religiösen Agnostizismus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 Hamburg,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2.Aufl. 2021</w:t>
      </w:r>
    </w:p>
    <w:p>
      <w:pPr>
        <w:pStyle w:val="Normal"/>
        <w:numPr>
          <w:ilvl w:val="0"/>
          <w:numId w:val="3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(2021) Subjektive und objektive Zeit. Aristoteles und die moderne Zeit-Theorie, Berlin</w:t>
      </w:r>
    </w:p>
    <w:p>
      <w:pPr>
        <w:pStyle w:val="Normal"/>
        <w:numPr>
          <w:ilvl w:val="0"/>
          <w:numId w:val="3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(2022) Grundkurs Philosophie Band 8: Philosophische Anthropologie, Stuttgart</w:t>
      </w:r>
    </w:p>
    <w:p>
      <w:pPr>
        <w:pStyle w:val="Normal"/>
        <w:numPr>
          <w:ilvl w:val="0"/>
          <w:numId w:val="3"/>
        </w:numPr>
        <w:spacing w:before="0" w:afterAutospacing="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(2023) Grundkurs Philosophie Band 9: Philosophie der Religion, Stuttgart</w:t>
      </w:r>
    </w:p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Cs w:val="24"/>
          <w:lang w:eastAsia="de-DE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B. Herausgabe (Editions)</w:t>
      </w:r>
    </w:p>
    <w:p>
      <w:pPr>
        <w:pStyle w:val="Normal"/>
        <w:numPr>
          <w:ilvl w:val="0"/>
          <w:numId w:val="4"/>
        </w:numPr>
        <w:spacing w:beforeAutospacing="1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Detel, W.,Becker, A. (Hrg.) (2002): Wissensideal und Wissenskultur bei Platon, Suttgart </w:t>
      </w:r>
    </w:p>
    <w:p>
      <w:pPr>
        <w:pStyle w:val="Normal"/>
        <w:numPr>
          <w:ilvl w:val="0"/>
          <w:numId w:val="4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Detel, W., Zittel,C. (Hrg.) (2002): Wissensideale und Wissenskulturen in der frühen Neuzeit, Berlin</w:t>
      </w:r>
    </w:p>
    <w:p>
      <w:pPr>
        <w:pStyle w:val="Normal"/>
        <w:numPr>
          <w:ilvl w:val="0"/>
          <w:numId w:val="4"/>
        </w:numPr>
        <w:spacing w:before="0" w:afterAutospacing="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(2009) Zus. mit Becker, A. (Hrg.) Natürlicher Geist. Beiträge zu einer undogmatischen Anthropologie, Berlin</w:t>
      </w:r>
    </w:p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C. Artikel (Articles)</w:t>
      </w:r>
    </w:p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I. Antike Philosophie (Ancient Philosophy)</w:t>
      </w:r>
    </w:p>
    <w:p>
      <w:pPr>
        <w:pStyle w:val="Normal"/>
        <w:numPr>
          <w:ilvl w:val="0"/>
          <w:numId w:val="5"/>
        </w:numPr>
        <w:spacing w:beforeAutospacing="1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(1973) Zur Argumentationsstruktur im ersten Hauptteil von Platons Aretedialogen, in: Archiv für Geschichte der Philosophie 55, 1-29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(1974) Die Kritik an den Definitionen im zweiten Hauptteil der platonischen Aretedialoge, in: Kant-Studien 65, 122-134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(1975) Aisthesis und Logismos. Zwei Probleme der epikureischen Methodologie, in: Archiv für Geschichte der Philosophie 57, 21-35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(1975a) Bemerkungen zum Einleitungsteil einiger platonischer Frühdialoge, in: Gymnasium 82, 308-314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(1980)</w:t>
      </w:r>
      <w:r>
        <w:rPr>
          <w:rFonts w:eastAsia="Symbol" w:cs="Symbol" w:ascii="Symbol" w:hAnsi="Symbol"/>
          <w:color w:val="000000"/>
          <w:szCs w:val="24"/>
          <w:lang w:eastAsia="de-DE"/>
        </w:rPr>
        <w:t>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in der stoischen Sprachphilosophie, in: Archiv für Geschichte der Philosophie 62, 276-288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(1980) Artikel "Materie" (antiker Bereich), in: Historisches Wörterbuch der Philosophie 5, 1980, Sp. 870 – 880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(1982) "Zeichen" bei Parmenides, in: Semiosis 4, 21-40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(1987) Eine Notiz über vollkommene Syllogismen bei Aristoteles, in: Archiv für Geschichte der Philosophie 69, 129-139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(1995) Griechen und Barbaren. Zu den Anfängen des abendländischen Rassismus, in: Deutsche Zeitschrift für Philosophie 6, 1019-1045.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 xml:space="preserve">(1995) Knowledge and Necessity in Aristotle´s Posterior Analytics, in: Puster, R. (Hrg.)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Veritas filia temporis? Festschrift für Rainer Specht, Berlin/New York 1995, 148-161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(1997) Why All Animals Have a Stomach: Demonstration and Axiomatization in Aristotle's Parts of Animals, in: Aristotelische Biologie, hrg. v. W. Kullmann und S. Föllinger, Stuttgart 1997, 63-84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(1998) Metaphysik und Wissenschaftstheorie bei Aristoteles, in: Internationale Zeitschrift für Philosophie 2, 199 – 229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(1998) Eine terminologische Rekonstruktion von Aristoteles, Cat. 1-5, in: Festschrift für Wolfgang Wieland zum 65. Geburtstag, hrg. v. Rainer Enskat, Tübingen 1998, 60-81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 xml:space="preserve">(1998) Aristotle’s Posterior Analytics and the path to the principles, in: N.Avgelis (ed.)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Aristotle on Logic, Language, and Science, Thessaloniki 1998, 155-182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(1999) Aristotle on zoological explanation, in: Philosophical Topics Bd.27, 1999, 43-68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(2000) Artikel Erkenntnistheorie, Erfahrung, Kausalität, Notwendigkeit, in: Der Neue Pauly (hrg.v. A.Laks u.a.) Bd.4, 1998; Bd.6, 1999; Bd.8, 2000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(2000 ff.) Artikel analysis, apodeixis, synthesis, episteme, in: Aristoteles-Lexikon, hrg.v. O. Höffe, Tübingen 2000 ff.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(2002) Zus. mit Becker, A.: Bericht über die Konferenz Wissensideal und Wissenskultur bei Platon/ Ideal and Culture of Knowledge in Plato, in: Internet Journal of Ancient Philosophy, hrg. v. Chr. Gill, Bd.1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(2003) Eros and Knowledge in Plato’s Symposion, in: Detel, Becker, Scholz (2003), 79-96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(2003) Macht- und Geschlechterverhältnisse im Altertum – eine Foucaultsche Perspektive, in: Der blaue Reiter 16, 23 – 30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 xml:space="preserve">(2004) A New Reading of Aristotle´s Philosophy of Science, in: M. Lutz-Bachmann, A. Fidora, P. Antolic (Hrg.)Erkenntnis und Wissenschaft. </w:t>
      </w: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Probleme der Epistemologie in der Philosophie des Mittelalters, Berlin 2004, 1-14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(2005) Artikel Analysis, Aphairesis, Apodeixis, Episteme, Hoti/Dihoti, Hypothesis, Physiognomein in: Höffe, O. (Hrg.) (2005) Aristoteles – Lexikon, Stuttgart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(2006) Logic and Philosophy of Science in Aristotle, in: M.-L-Gill, P. Pellegrin (Hrg.), The Blackwell Companion to Ancient Philosophy, Cambridge 2006, pp. 245-269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(2006) Eros und Wissen in Platons Symposion, in: Schiemann, G., Mersch, D., Böhme, G. (Hrg.), Platon im nachmetaphysischen Zeitalter, Darmstadt 2006, 137-154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(2007) Logic and Experience in Aristotle.In: A. Fidora, M.Lutz-Bachmann, Erfahrung und Beweis, Berlin 2007, 3-10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(2010) Einige Transformationen des aristotelischen Wissenschaftsbildes. In: Toepfer, G.; Böhme, H. (Hrg.)(2010): Transformationen antiker Wissenschaften, Berlin, 1 – 34.</w:t>
      </w:r>
    </w:p>
    <w:p>
      <w:pPr>
        <w:pStyle w:val="Normal"/>
        <w:numPr>
          <w:ilvl w:val="0"/>
          <w:numId w:val="5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(2014) Aristoteles' Zweite Analytik und ihr metaphysischer Hintergrund. Archiv für Geschichte der Philosophie 96 (4), 431-46</w:t>
      </w:r>
    </w:p>
    <w:p>
      <w:pPr>
        <w:pStyle w:val="Normal"/>
        <w:numPr>
          <w:ilvl w:val="0"/>
          <w:numId w:val="5"/>
        </w:numPr>
        <w:spacing w:before="0" w:afterAutospacing="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(2020) The Logical Structure of Aristoxenus´ Theory of Music. Archiv für Musikwissenschaft 77 (2), 128-158</w:t>
      </w:r>
    </w:p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II Neuzeitliche Philosophie (Modern Philosophy)</w:t>
      </w:r>
    </w:p>
    <w:p>
      <w:pPr>
        <w:pStyle w:val="Normal"/>
        <w:numPr>
          <w:ilvl w:val="0"/>
          <w:numId w:val="6"/>
        </w:numPr>
        <w:spacing w:beforeAutospacing="1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(1975) War Gassendi ein Empirist? in: Studia Leibnitiana 65, 178-221</w:t>
      </w:r>
    </w:p>
    <w:p>
      <w:pPr>
        <w:pStyle w:val="Normal"/>
        <w:numPr>
          <w:ilvl w:val="0"/>
          <w:numId w:val="6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(1975) Eine Notiz zum Trägkeitsbegriff bei Galilei, in: Sudhoffs Archiv 4, 415-420</w:t>
      </w:r>
    </w:p>
    <w:p>
      <w:pPr>
        <w:pStyle w:val="Normal"/>
        <w:numPr>
          <w:ilvl w:val="0"/>
          <w:numId w:val="6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(1976) Die Einführung atomistischer Grundsätze bei Gassendi und Epikur, in: Philosophia Naturalis 16, 167-190</w:t>
      </w:r>
    </w:p>
    <w:p>
      <w:pPr>
        <w:pStyle w:val="Normal"/>
        <w:numPr>
          <w:ilvl w:val="0"/>
          <w:numId w:val="6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(1978) Zur Funktion des Schematismuskapitels in Kants Kritik der reinen Vernunft, in: Kant-Studien 69, 17-45.</w:t>
      </w:r>
    </w:p>
    <w:p>
      <w:pPr>
        <w:pStyle w:val="Normal"/>
        <w:numPr>
          <w:ilvl w:val="0"/>
          <w:numId w:val="6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(1978) Bemerkungen zum Platonismus bei Galilei, in: Neue Hefte für Philosophie 15/16, 130-155</w:t>
      </w:r>
    </w:p>
    <w:p>
      <w:pPr>
        <w:pStyle w:val="Normal"/>
        <w:numPr>
          <w:ilvl w:val="0"/>
          <w:numId w:val="6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(1979) Funktionale Erklärungen bei Marx, in: Analyse und Kritik 1, 147-163</w:t>
      </w:r>
    </w:p>
    <w:p>
      <w:pPr>
        <w:pStyle w:val="Normal"/>
        <w:numPr>
          <w:ilvl w:val="0"/>
          <w:numId w:val="6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(2000) Descartes und der wissenschaftstheoretische Fundamentalismus, in: W. Niebel, A. Horn, H. Schnädelbach (Hrg.), Descartes im Diskurs der Neuzeit, Frankfurt/M. 2000, 230-258</w:t>
      </w:r>
    </w:p>
    <w:p>
      <w:pPr>
        <w:pStyle w:val="Normal"/>
        <w:numPr>
          <w:ilvl w:val="0"/>
          <w:numId w:val="6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(2002) Zus. mit Zittel, C. (2002) Hobbes und die Historiographie, in: Zeitläufte 2</w:t>
      </w:r>
    </w:p>
    <w:p>
      <w:pPr>
        <w:pStyle w:val="Normal"/>
        <w:numPr>
          <w:ilvl w:val="0"/>
          <w:numId w:val="6"/>
        </w:numPr>
        <w:spacing w:before="0" w:afterAutospacing="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(2002) Scepticism and Scientific Knowledge: The Case of Gassendi, in: Detel, Zittel (2002), 259-275</w:t>
      </w:r>
    </w:p>
    <w:p>
      <w:pPr>
        <w:pStyle w:val="Normal"/>
        <w:spacing w:beforeAutospacing="1" w:afterAutospacing="1"/>
        <w:ind w:left="720" w:hanging="0"/>
        <w:rPr>
          <w:rFonts w:ascii="Times New Roman" w:hAnsi="Times New Roman" w:eastAsia="Times New Roman" w:cs="Times New Roman"/>
          <w:color w:val="000000"/>
          <w:szCs w:val="24"/>
          <w:lang w:val="en-GB" w:eastAsia="de-DE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</w:r>
    </w:p>
    <w:p>
      <w:pPr>
        <w:pStyle w:val="Normal"/>
        <w:spacing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III Zeitgenössische Philosophie (Contemporary Philosophy)</w:t>
      </w:r>
    </w:p>
    <w:p>
      <w:pPr>
        <w:pStyle w:val="Normal"/>
        <w:numPr>
          <w:ilvl w:val="0"/>
          <w:numId w:val="7"/>
        </w:numPr>
        <w:spacing w:beforeAutospacing="1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(1974) Zwei Fallstudien zur Prüfung des Falsifikationismus, in: Zeitschrift für Allgemeine Wissenschaftstheorie 5, 226-246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(1977) Methode und Erkenntnisfortschritt. Kritische Bemerkungen zum Verhältnis von Wissenschaftstheorie und Wissenschaftsgeschichte, in: Zeitschrift für allgemeine Wissenschaftstheorie 8, 237-256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(1979) Zur Begründbarkeit des Extremistenbeschlusses, in: Zeitschrift für Didaktik der Philosophie 1, 176-187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(1982) Artikel "Erfahrungswissenschaft", in: Handwörterbuch der Wirtschaftswissenschaft, Tübingen 1982, 936-963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(1985) Artikel „Wissenschaft“, in: Martens, E.; Schnädelbach, H. (Hrg.)(1985): Philosophie. Ein Grundkurs, Reinbek bei Hamburg, 172 - 216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(1996) Foucault on Power and the Will to Knowledge, in: European Journal of Philosophy 4, 296-327.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(1997) Ein wenig „Sex“ muß sein. Zum Problem der Referenz auf die Geschlechter, in: Deutsche Zeitschrift für Philosophie 45, 63-98.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(2000) System und Lebenswelt bei Habermas, in: St. Müller-Dohm (Hrg.) Das Interesse der Vernunft. Rückblick auf das Werk von Habermas, Frankfurt/M. 2000, 175-200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(2001) Social Constructivism, in: Ph. Pettit u.a.(eds.), International Encyclopedia of the Social and Behavioral Sciences 2001 (rev. 2013)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(2001) Knowledge and Context, in: Philosophical Inquiries, Bd. 68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(2001) Teleosemantik. Ein neuer Blick auf den Geist? In: Deutsche Zeitschrift für Philosophie 49, 465-491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(2001) Haben Frösche und Sumpfmenschen Gedanken? Einige Probleme der Teleosemantik, In: Deutsche Zeitschrift für Philosophie 49, 601-626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(2002) Der Sozialkonstruktivismus und die Wissenschaftsgeschichtsschreibung des 17. Jahrhunderts, in: C. Zittel (Hrg.), Konstruktionsprobleme des Sozialkonstruktivismus, Berlin (2002), 67-86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(2002) Wahrheit und Repräsentation, in: G.Figal (hrg.) Interpretationen der Wahrheit (Akten der Tagung des Engeren Kreises der Allgemeinen Gesellschaft für Philosophie in Deutschland, Tübingen 1998), Tübingen 2002, 182-200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(2002) Zus. m. Samson, B.: Zum Begriff nicht-mathematischer Funktionen, in: Analyse und Kritik 24, 100-129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(2002) Macht- und Geschlechterverhältnisse im klassischen Altertum. Eine Foucault’sche Perspektive, in: Der blaue Reiter 16, 23 – 29.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(2003) Ordnungen des Wissens, in: Honneth, A.; Saar, M. (hrg.) Michel Foucault. Zwischenbilanz einer Rezeption, Frankfurt 2003, 181 – 191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(2003) Wissen und Kontext, in: M. Vogel, L. Wingert (hrg.) Wissen zwischen Entdeckung und Konstruktion, Frankfurt/M.2003, 249-287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(2003).: Wissenskulturen und epistemische Praktiken, in: Fried, J. (Hrg.) Wissenskulturen, Berlin 2003, 119 – 132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(2004) Forschungen über Hirn und Geist, in: Deutsche Zeitschrift für Philosophie 52, 891 – 920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(2005) Hybrid Theories of Normativity. In: Ch. Gill (ed.) Norms, Virtues, and Objectivity.Oxford UP, 113-144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(2005) Kultur und Wissen, in: Hempfer, K., Traninger, A. (hrg.) Macht, Wissen, Wahrheit, Freiburg, 19-40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(2006) Mental Causation and the Notion of Collective Action, in: Stekeler-Weithofer, P., Psarros, N. (hrg.), Facettes of Sociality, Frankfurt/Main 2006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(2006) Foucault und die Suche nach großen Strukturen, in: Bogdal, K.M., Geisenhanslücke, A. (Hrg.), Die Abwesenheit des Werkes. Nach Foucault, Heidelberg 2006, 37-52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(2006) Perspektiven einer Freiheitstheorie, in: Deutsche Zeitschrift für Philosophie 54, 2006, 349-374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(2007) Wissenskultur, in: Handbuch Wissenssoziologie und Wissensforschung, hrg. V. R. Schützeichel, Konstanz 2007, 670 – 679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(2007) Habermas und die Methodologie kritischer Theorien, in: Winter, R.; v. Zima, P. (Hrg.) (2007), Kritische Theorie Heute, Bielefeld, 177-203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(2008) Konstruktivismus, in: S .Gosepath, W. Hinsch, B. Rössler (Hrg.), Handbuch der Politischen Philosophie und Sozialphilosophie, Berlin, Bd.1, 650-654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(2008) Aristoteles und die Metapher, in: K.M.Hingst, M.Liatsi (Hrg.) Pragmata. Festschrift für Klaus Oehler, Tübingen 2008, 13-22.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(2008) Foucault: Schriften zur Ethik, in: C.Kammler, R.Parr, U.J.Schneider: Foucault-Handbuch, Stuttgart/Weimar 2008, 129-138.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(2008) On the Concept of Basic Social Norms, in: Analyse und Kritik 30, 469-482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(2009) Wissenskulturen und universelle Rationalität, in: Fried, J.; Stolleis, M. (Hrg.)(2009) Wissenskulturen. Über die Erzeugung und Weitergabe von Wissen, Frankfurt/New York, 181-214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(2009) Naturalismus und intentionaler Realismus, in: Becker, A.; Detel, W. (Hrg.) Natürlicher Geist. Beiträge zu einer undogmatischen Anthropologie, Berlin 2009, 13-64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(2010) Millikan über natürliche und intentionale Zeichen, in: Deutsche Zeitschrift für Philosophie 58, 893-912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(2011) Sprachliche Fähigkeiten. Zu Michael Tomasello, Die Ursprünge der menschlichen Kommunikation, in: Deutsche Zeitschrift für Philosophie 59, 147-152.</w:t>
      </w:r>
    </w:p>
    <w:p>
      <w:pPr>
        <w:pStyle w:val="Normal"/>
        <w:numPr>
          <w:ilvl w:val="0"/>
          <w:numId w:val="7"/>
        </w:numPr>
        <w:spacing w:before="0" w:after="0"/>
        <w:rPr/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(2011) Ein Blick auf die Hermeneutik des Johannes Clauberg, </w:t>
      </w:r>
      <w:hyperlink r:id="rId2">
        <w:r>
          <w:rPr>
            <w:rFonts w:eastAsia="Times New Roman" w:cs="Times New Roman" w:ascii="Times New Roman" w:hAnsi="Times New Roman"/>
            <w:color w:val="000000"/>
            <w:szCs w:val="24"/>
            <w:u w:val="single"/>
            <w:lang w:eastAsia="de-DE"/>
          </w:rPr>
          <w:t>www.mythos-magazin.de/erklaerendehermeneutik/wd_</w:t>
        </w:r>
        <w:r>
          <w:rPr>
            <w:rFonts w:eastAsia="Times New Roman" w:cs="Times New Roman" w:ascii="Times New Roman" w:hAnsi="Times New Roman"/>
            <w:b/>
            <w:bCs/>
            <w:color w:val="000000"/>
            <w:szCs w:val="24"/>
            <w:u w:val="single"/>
            <w:lang w:eastAsia="de-DE"/>
          </w:rPr>
          <w:t>clauberg</w:t>
        </w:r>
        <w:r>
          <w:rPr>
            <w:rFonts w:eastAsia="Times New Roman" w:cs="Times New Roman" w:ascii="Times New Roman" w:hAnsi="Times New Roman"/>
            <w:color w:val="000000"/>
            <w:szCs w:val="24"/>
            <w:u w:val="single"/>
            <w:lang w:eastAsia="de-DE"/>
          </w:rPr>
          <w:t>.htm</w:t>
        </w:r>
      </w:hyperlink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(2012) Geist und Verstehen. Historische Grundlagen einer modernen Hermeneutik, Précis – Replik, in: Zeitschrift für philosophische Forschung 66, 583-587 und 600-604</w:t>
      </w:r>
    </w:p>
    <w:p>
      <w:pPr>
        <w:pStyle w:val="Normal"/>
        <w:numPr>
          <w:ilvl w:val="0"/>
          <w:numId w:val="7"/>
        </w:numPr>
        <w:spacing w:before="0" w:after="0"/>
        <w:rPr/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(2012) Hermeneutik und Erklärung. Quelle: </w:t>
      </w:r>
      <w:hyperlink r:id="rId3">
        <w:r>
          <w:rPr>
            <w:rFonts w:eastAsia="Times New Roman" w:cs="Times New Roman" w:ascii="Times New Roman" w:hAnsi="Times New Roman"/>
            <w:color w:val="000000"/>
            <w:szCs w:val="24"/>
            <w:u w:val="single"/>
            <w:lang w:eastAsia="de-DE"/>
          </w:rPr>
          <w:t>http://www.mythos-magazin.de/</w:t>
        </w:r>
      </w:hyperlink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 xml:space="preserve"> erklaerendehermeneutik/wd_erklaerung.pdf. 1/25. WOLFGANG DETEL.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(2012) Pathos und Wahrheit. In: Ethos und Pathos der Geisteswissenschaften. Konfigurationen der wissenschaftlichen Persona seit 1750 Hrsg. v. Klausnitzer, Ralf / Spoerhase, Carlos / Werle, Dirk. Historia Hermeneutica. Series Studia 12, 351-370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(2013) Information, representation and interpretation – some remarks.In: Cataldi Madonna, L. (Hrg.)(2013): Naturalistische Hermeneutik. Ein neues Paradigma des Verstehens, Würzburg, 153 – 166.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(2013) Social Constructivism (substantial revision), in: Ph. Pettit u.a.(eds.), International Encyclopedia of the Social and Behavioral Sciences 2</w:t>
      </w:r>
      <w:r>
        <w:rPr>
          <w:rFonts w:eastAsia="Times New Roman" w:cs="Times New Roman" w:ascii="Times New Roman" w:hAnsi="Times New Roman"/>
          <w:color w:val="000000"/>
          <w:szCs w:val="24"/>
          <w:vertAlign w:val="superscript"/>
          <w:lang w:val="en-GB" w:eastAsia="de-DE"/>
        </w:rPr>
        <w:t>nd</w:t>
      </w: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 xml:space="preserve"> ed. 2013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(2013) Wahrheitsansprüche und literarische Fiktionen. In: Konrad, E. – M.; Petraschka, T.; Rott, H. (Hrg.) (2013): Fiktion, Wahrheit, Interpretation. Philologische und philosophische Perspektiven, Paderborn, 240 – 274.</w:t>
      </w:r>
    </w:p>
    <w:p>
      <w:pPr>
        <w:pStyle w:val="Normal"/>
        <w:numPr>
          <w:ilvl w:val="0"/>
          <w:numId w:val="7"/>
        </w:numPr>
        <w:spacing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(2014) Epistemological Contextualism and Cultures of Knowledge, in:Rivista Internazionale di Filosofia e Psicologia 5, 43 – 57.</w:t>
      </w:r>
    </w:p>
    <w:p>
      <w:pPr>
        <w:pStyle w:val="Normal"/>
        <w:numPr>
          <w:ilvl w:val="0"/>
          <w:numId w:val="7"/>
        </w:numPr>
        <w:spacing w:before="0" w:afterAutospacing="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(2017) Der erstaunliche methodologische Widerspruch zwischen Freuds Metapsychologie und seiner analytischen Technik. Deutsche Zeitschrift für Philosophie, 65(5), 807-829.</w:t>
      </w:r>
    </w:p>
    <w:p>
      <w:pPr>
        <w:pStyle w:val="Normal"/>
        <w:spacing w:lineRule="auto" w:line="276"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D. Im Erscheinen (Forthcoming)</w:t>
      </w:r>
    </w:p>
    <w:p>
      <w:pPr>
        <w:pStyle w:val="ListParagraph"/>
        <w:numPr>
          <w:ilvl w:val="1"/>
          <w:numId w:val="2"/>
        </w:numPr>
        <w:pBdr/>
        <w:shd w:val="clear" w:color="auto" w:fill="FFFFFE"/>
        <w:tabs>
          <w:tab w:val="clear" w:pos="708"/>
          <w:tab w:val="left" w:pos="709" w:leader="none"/>
        </w:tabs>
        <w:spacing w:lineRule="auto" w:line="276"/>
        <w:ind w:left="709" w:hanging="283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2"/>
          <w:lang w:eastAsia="de-DE"/>
        </w:rPr>
        <w:t xml:space="preserve">Zusammen mit Jin Hyun Kim, Matthias Vogel, Stefan Kölsch, Uwe Seifert, Georg Mohr: </w:t>
      </w:r>
      <w:r>
        <w:rPr>
          <w:rFonts w:eastAsia="Trebuchet MS" w:cs="Times New Roman" w:ascii="Times New Roman" w:hAnsi="Times New Roman"/>
          <w:color w:val="000000"/>
          <w:sz w:val="22"/>
        </w:rPr>
        <w:t>Music as a meaningful phenomenon</w:t>
      </w:r>
      <w:r>
        <w:rPr>
          <w:rFonts w:eastAsia="Trebuchet MS" w:cs="Times New Roman" w:ascii="Times New Roman" w:hAnsi="Times New Roman"/>
          <w:color w:val="000000"/>
          <w:sz w:val="22"/>
        </w:rPr>
        <w:t xml:space="preserve">. A </w:t>
      </w:r>
      <w:r>
        <w:rPr>
          <w:rFonts w:eastAsia="Trebuchet MS" w:cs="Times New Roman" w:ascii="Times New Roman" w:hAnsi="Times New Roman"/>
          <w:color w:val="000000"/>
          <w:sz w:val="22"/>
        </w:rPr>
        <w:t>semantic analysis (2023)</w:t>
      </w:r>
    </w:p>
    <w:p>
      <w:pPr>
        <w:pStyle w:val="ListParagraph"/>
        <w:numPr>
          <w:ilvl w:val="1"/>
          <w:numId w:val="2"/>
        </w:numPr>
        <w:pBdr/>
        <w:shd w:val="clear" w:color="auto" w:fill="FFFFFE"/>
        <w:tabs>
          <w:tab w:val="clear" w:pos="708"/>
          <w:tab w:val="left" w:pos="709" w:leader="none"/>
        </w:tabs>
        <w:spacing w:lineRule="auto" w:line="276"/>
        <w:ind w:left="709" w:hanging="283"/>
        <w:rPr>
          <w:color w:val="000000"/>
        </w:rPr>
      </w:pPr>
      <w:r>
        <w:rPr>
          <w:rFonts w:eastAsia="Trebuchet MS" w:cs="Times New Roman" w:ascii="Times New Roman" w:hAnsi="Times New Roman"/>
          <w:color w:val="000000"/>
          <w:sz w:val="22"/>
          <w:lang w:val="en-GB"/>
        </w:rPr>
        <w:t xml:space="preserve">Zusammen mit Stefan Kölsch: Extensional Musical Semantics, in: </w:t>
      </w:r>
      <w:r>
        <w:rPr>
          <w:rFonts w:cs="Times New Roman" w:ascii="Times New Roman" w:hAnsi="Times New Roman"/>
          <w:color w:val="000000"/>
          <w:sz w:val="22"/>
          <w:lang w:val="en-GB"/>
        </w:rPr>
        <w:t>Handbook of Language and Music, chapter 14, Oxford University Press.</w:t>
      </w:r>
    </w:p>
    <w:p>
      <w:pPr>
        <w:pStyle w:val="ListParagraph"/>
        <w:numPr>
          <w:ilvl w:val="1"/>
          <w:numId w:val="2"/>
        </w:numPr>
        <w:pBdr/>
        <w:shd w:val="clear" w:color="auto" w:fill="FFFFFE"/>
        <w:tabs>
          <w:tab w:val="clear" w:pos="708"/>
          <w:tab w:val="left" w:pos="709" w:leader="none"/>
        </w:tabs>
        <w:spacing w:lineRule="auto" w:line="276"/>
        <w:ind w:left="709" w:hanging="283"/>
        <w:rPr>
          <w:color w:val="000000"/>
        </w:rPr>
      </w:pPr>
      <w:r>
        <w:rPr>
          <w:rFonts w:cs="Times New Roman" w:ascii="Times New Roman" w:hAnsi="Times New Roman"/>
          <w:color w:val="000000"/>
          <w:sz w:val="22"/>
        </w:rPr>
        <w:t>Warum wir über den Gott der Bibel und des Koran nichts wissen können, in: Der blaue Reiter 2023</w:t>
      </w:r>
    </w:p>
    <w:p>
      <w:pPr>
        <w:pStyle w:val="ListParagraph"/>
        <w:numPr>
          <w:ilvl w:val="1"/>
          <w:numId w:val="2"/>
        </w:numPr>
        <w:pBdr/>
        <w:shd w:val="clear" w:color="auto" w:fill="FFFFFE"/>
        <w:tabs>
          <w:tab w:val="clear" w:pos="708"/>
          <w:tab w:val="left" w:pos="709" w:leader="none"/>
        </w:tabs>
        <w:spacing w:lineRule="auto" w:line="276"/>
        <w:ind w:left="709" w:hanging="283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2"/>
        </w:rPr>
        <w:t>Repräsentationalität, Emotionen und die Hermeneutik der Musik, in: Kim, Jin Hyun, Vogel, Matthias (Hrg.): Musikverstehen</w:t>
      </w:r>
    </w:p>
    <w:p>
      <w:pPr>
        <w:pStyle w:val="ListParagraph"/>
        <w:numPr>
          <w:ilvl w:val="1"/>
          <w:numId w:val="2"/>
        </w:numPr>
        <w:pBdr/>
        <w:shd w:val="clear" w:color="auto" w:fill="FFFFFE"/>
        <w:tabs>
          <w:tab w:val="clear" w:pos="708"/>
          <w:tab w:val="left" w:pos="709" w:leader="none"/>
        </w:tabs>
        <w:spacing w:lineRule="auto" w:line="276"/>
        <w:ind w:left="709" w:hanging="283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2"/>
          <w:lang w:val="en-GB"/>
        </w:rPr>
        <w:t xml:space="preserve">Aristotle´s theory of time is not flawed. </w:t>
      </w:r>
      <w:r>
        <w:rPr>
          <w:rFonts w:cs="Times New Roman" w:ascii="Times New Roman" w:hAnsi="Times New Roman"/>
          <w:bCs/>
          <w:color w:val="000000"/>
          <w:sz w:val="22"/>
        </w:rPr>
        <w:t>In: Revue de Philosophie Ancienne 2023</w:t>
      </w:r>
    </w:p>
    <w:p>
      <w:pPr>
        <w:pStyle w:val="ListParagraph"/>
        <w:numPr>
          <w:ilvl w:val="1"/>
          <w:numId w:val="2"/>
        </w:numPr>
        <w:pBdr/>
        <w:shd w:val="clear" w:color="auto" w:fill="FFFFFE"/>
        <w:tabs>
          <w:tab w:val="clear" w:pos="708"/>
          <w:tab w:val="left" w:pos="709" w:leader="none"/>
        </w:tabs>
        <w:spacing w:lineRule="auto" w:line="276"/>
        <w:ind w:left="709" w:hanging="283"/>
        <w:rPr>
          <w:color w:val="000000"/>
        </w:rPr>
      </w:pPr>
      <w:r>
        <w:rPr>
          <w:rFonts w:cs="Times New Roman" w:ascii="Times New Roman" w:hAnsi="Times New Roman"/>
          <w:color w:val="000000"/>
          <w:sz w:val="22"/>
        </w:rPr>
        <w:t xml:space="preserve">Interpretation als Parsen: Simulation und Empathie </w:t>
      </w:r>
    </w:p>
    <w:p>
      <w:pPr>
        <w:pStyle w:val="Normal"/>
        <w:spacing w:lineRule="auto" w:line="276" w:beforeAutospacing="1" w:afterAutospacing="1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eastAsia="de-DE"/>
        </w:rPr>
        <w:t>F. Projekte (Projects)</w:t>
      </w:r>
    </w:p>
    <w:p>
      <w:pPr>
        <w:pStyle w:val="Normal"/>
        <w:numPr>
          <w:ilvl w:val="0"/>
          <w:numId w:val="8"/>
        </w:numPr>
        <w:spacing w:lineRule="auto" w:line="276" w:beforeAutospacing="1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de-DE"/>
        </w:rPr>
        <w:t>Johannes Clauberg: Scientia Hermeneutica. Lateinisch und Deutsch, mit Einleitung und Anmerkungen (Meiner, Philosophische Bibliothek)</w:t>
      </w:r>
    </w:p>
    <w:p>
      <w:pPr>
        <w:pStyle w:val="Normal"/>
        <w:numPr>
          <w:ilvl w:val="0"/>
          <w:numId w:val="8"/>
        </w:numPr>
        <w:spacing w:lineRule="auto" w:line="276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 xml:space="preserve">A Note on Music Ontology </w:t>
      </w:r>
    </w:p>
    <w:p>
      <w:pPr>
        <w:pStyle w:val="Normal"/>
        <w:numPr>
          <w:ilvl w:val="0"/>
          <w:numId w:val="8"/>
        </w:numPr>
        <w:spacing w:lineRule="auto" w:line="276" w:before="0" w:afterAutospacing="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en-GB" w:eastAsia="de-DE"/>
        </w:rPr>
        <w:t>Rethinking Racism (Meiner, Blaue Reihe)</w:t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  <w:u w:val="single"/>
          <w:lang w:val="en-GB"/>
        </w:rPr>
      </w:pPr>
      <w:r>
        <w:rPr>
          <w:rFonts w:cs="Times New Roman" w:ascii="Times New Roman" w:hAnsi="Times New Roman"/>
          <w:color w:val="000000"/>
          <w:u w:val="single"/>
          <w:lang w:val="en-GB"/>
        </w:rPr>
      </w:r>
      <w:bookmarkStart w:id="0" w:name="a_43801099"/>
      <w:bookmarkStart w:id="1" w:name="a_43413432"/>
      <w:bookmarkStart w:id="2" w:name="a_43801099"/>
      <w:bookmarkStart w:id="3" w:name="a_43413432"/>
      <w:bookmarkEnd w:id="2"/>
      <w:bookmarkEnd w:id="3"/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  <w:u w:val="single"/>
          <w:lang w:val="en-GB"/>
        </w:rPr>
      </w:pPr>
      <w:r>
        <w:rPr>
          <w:rFonts w:cs="Times New Roman" w:ascii="Times New Roman" w:hAnsi="Times New Roman"/>
          <w:color w:val="000000"/>
          <w:u w:val="single"/>
          <w:lang w:val="en-GB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  <w:u w:val="single"/>
          <w:lang w:val="en-GB"/>
        </w:rPr>
      </w:pPr>
      <w:r>
        <w:rPr>
          <w:rFonts w:cs="Times New Roman" w:ascii="Times New Roman" w:hAnsi="Times New Roman"/>
          <w:color w:val="000000"/>
          <w:u w:val="single"/>
          <w:lang w:val="en-GB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4967"/>
    <w:pPr>
      <w:widowControl/>
      <w:bidi w:val="0"/>
      <w:spacing w:lineRule="auto" w:line="240" w:before="0" w:after="0"/>
      <w:jc w:val="left"/>
    </w:pPr>
    <w:rPr>
      <w:rFonts w:ascii="Arial" w:hAnsi="Arial" w:eastAsia="Calibri" w:cs=""/>
      <w:color w:val="auto"/>
      <w:kern w:val="0"/>
      <w:sz w:val="24"/>
      <w:szCs w:val="22"/>
      <w:lang w:val="de-DE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tont">
    <w:name w:val="Betont"/>
    <w:basedOn w:val="DefaultParagraphFont"/>
    <w:uiPriority w:val="20"/>
    <w:qFormat/>
    <w:rsid w:val="00334967"/>
    <w:rPr>
      <w:i/>
      <w:iCs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34967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334967"/>
    <w:pPr>
      <w:spacing w:beforeAutospacing="1" w:afterAutospacing="1"/>
    </w:pPr>
    <w:rPr>
      <w:rFonts w:ascii="Times New Roman" w:hAnsi="Times New Roman" w:eastAsia="Times New Roman" w:cs="Times New Roman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ythos-magazin.de/erklaerendehermeneutik/wd_clauberg.htm" TargetMode="External"/><Relationship Id="rId3" Type="http://schemas.openxmlformats.org/officeDocument/2006/relationships/hyperlink" Target="http://www.mythos-magazin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LibreOffice/7.3.4.2$Windows_X86_64 LibreOffice_project/728fec16bd5f605073805c3c9e7c4212a0120dc5</Application>
  <AppVersion>15.0000</AppVersion>
  <Pages>6</Pages>
  <Words>2060</Words>
  <Characters>13530</Characters>
  <CharactersWithSpaces>15359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2023-01-26T12:26:00Z</dcterms:created>
  <dc:creator>Wolfgang Detel</dc:creator>
  <dc:description/>
  <dc:language>de-DE</dc:language>
  <cp:lastModifiedBy>J K</cp:lastModifiedBy>
  <dcterms:modified xsi:type="dcterms:W3CDTF">2023-05-26T12:17:09Z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